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PROTOCOLE – PRISE EN CHARGE DE LA LOMBALGIE AIGUË ET CHRONIQUE</w:t>
      </w:r>
    </w:p>
    <w:p w:rsidR="00000000" w:rsidDel="00000000" w:rsidP="00000000" w:rsidRDefault="00000000" w:rsidRPr="00000000" w14:paraId="00000002">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Contexte :</w:t>
      </w:r>
    </w:p>
    <w:p w:rsidR="00000000" w:rsidDel="00000000" w:rsidP="00000000" w:rsidRDefault="00000000" w:rsidRPr="00000000" w14:paraId="00000004">
      <w:pPr>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 </w:t>
      </w:r>
      <w:r w:rsidDel="00000000" w:rsidR="00000000" w:rsidRPr="00000000">
        <w:rPr>
          <w:rFonts w:ascii="Times New Roman" w:cs="Times New Roman" w:eastAsia="Times New Roman" w:hAnsi="Times New Roman"/>
          <w:b w:val="1"/>
          <w:sz w:val="24"/>
          <w:szCs w:val="24"/>
          <w:rtl w:val="0"/>
        </w:rPr>
        <w:t xml:space="preserve">mal de dos</w:t>
      </w:r>
      <w:r w:rsidDel="00000000" w:rsidR="00000000" w:rsidRPr="00000000">
        <w:rPr>
          <w:rFonts w:ascii="Times New Roman" w:cs="Times New Roman" w:eastAsia="Times New Roman" w:hAnsi="Times New Roman"/>
          <w:sz w:val="24"/>
          <w:szCs w:val="24"/>
          <w:rtl w:val="0"/>
        </w:rPr>
        <w:t xml:space="preserve"> est un enjeu de santé publique (</w:t>
      </w:r>
      <w:r w:rsidDel="00000000" w:rsidR="00000000" w:rsidRPr="00000000">
        <w:rPr>
          <w:rFonts w:ascii="Times New Roman" w:cs="Times New Roman" w:eastAsia="Times New Roman" w:hAnsi="Times New Roman"/>
          <w:b w:val="1"/>
          <w:sz w:val="24"/>
          <w:szCs w:val="24"/>
          <w:rtl w:val="0"/>
        </w:rPr>
        <w:t xml:space="preserve">84% de prévalence en vie entière</w:t>
      </w:r>
      <w:r w:rsidDel="00000000" w:rsidR="00000000" w:rsidRPr="00000000">
        <w:rPr>
          <w:rFonts w:ascii="Times New Roman" w:cs="Times New Roman" w:eastAsia="Times New Roman" w:hAnsi="Times New Roman"/>
          <w:sz w:val="24"/>
          <w:szCs w:val="24"/>
          <w:rtl w:val="0"/>
        </w:rPr>
        <w:t xml:space="preserve">, en 2017 un coût de plus de 900 millions d’euros par an, 2ème motif de recours au médecin traitant), un enjeu de santé pour les personnes touchées, mais aussi un enjeu socio-économique pour le monde du travail (2). </w:t>
      </w:r>
    </w:p>
    <w:p w:rsidR="00000000" w:rsidDel="00000000" w:rsidP="00000000" w:rsidRDefault="00000000" w:rsidRPr="00000000" w14:paraId="00000005">
      <w:pPr>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Deux salariés sur trois ont souffert, souffrent ou souffriront un jour d’une « </w:t>
      </w:r>
      <w:r w:rsidDel="00000000" w:rsidR="00000000" w:rsidRPr="00000000">
        <w:rPr>
          <w:rFonts w:ascii="Times New Roman" w:cs="Times New Roman" w:eastAsia="Times New Roman" w:hAnsi="Times New Roman"/>
          <w:b w:val="1"/>
          <w:sz w:val="24"/>
          <w:szCs w:val="24"/>
          <w:rtl w:val="0"/>
        </w:rPr>
        <w:t xml:space="preserve">lombalgie</w:t>
      </w:r>
      <w:r w:rsidDel="00000000" w:rsidR="00000000" w:rsidRPr="00000000">
        <w:rPr>
          <w:rFonts w:ascii="Times New Roman" w:cs="Times New Roman" w:eastAsia="Times New Roman" w:hAnsi="Times New Roman"/>
          <w:sz w:val="24"/>
          <w:szCs w:val="24"/>
          <w:rtl w:val="0"/>
        </w:rPr>
        <w:t xml:space="preserve"> ». Parfois invalidant, </w:t>
      </w:r>
      <w:r w:rsidDel="00000000" w:rsidR="00000000" w:rsidRPr="00000000">
        <w:rPr>
          <w:rFonts w:ascii="Times New Roman" w:cs="Times New Roman" w:eastAsia="Times New Roman" w:hAnsi="Times New Roman"/>
          <w:b w:val="1"/>
          <w:sz w:val="24"/>
          <w:szCs w:val="24"/>
          <w:rtl w:val="0"/>
        </w:rPr>
        <w:t xml:space="preserve">le mal de dos</w:t>
      </w:r>
      <w:r w:rsidDel="00000000" w:rsidR="00000000" w:rsidRPr="00000000">
        <w:rPr>
          <w:rFonts w:ascii="Times New Roman" w:cs="Times New Roman" w:eastAsia="Times New Roman" w:hAnsi="Times New Roman"/>
          <w:sz w:val="24"/>
          <w:szCs w:val="24"/>
          <w:rtl w:val="0"/>
        </w:rPr>
        <w:t xml:space="preserve">, lorsqu’il devient chronique, peut entraîner de lourdes conséquences pour le salarié en termes de désinsertion sociale et professionnelle Une lombalgie sur cinq entraîne un arrêt de travail. Elle représente </w:t>
      </w:r>
      <w:r w:rsidDel="00000000" w:rsidR="00000000" w:rsidRPr="00000000">
        <w:rPr>
          <w:rFonts w:ascii="Times New Roman" w:cs="Times New Roman" w:eastAsia="Times New Roman" w:hAnsi="Times New Roman"/>
          <w:b w:val="1"/>
          <w:sz w:val="24"/>
          <w:szCs w:val="24"/>
          <w:rtl w:val="0"/>
        </w:rPr>
        <w:t xml:space="preserve">30 % des arrêts de travail</w:t>
      </w:r>
      <w:r w:rsidDel="00000000" w:rsidR="00000000" w:rsidRPr="00000000">
        <w:rPr>
          <w:rFonts w:ascii="Times New Roman" w:cs="Times New Roman" w:eastAsia="Times New Roman" w:hAnsi="Times New Roman"/>
          <w:sz w:val="24"/>
          <w:szCs w:val="24"/>
          <w:rtl w:val="0"/>
        </w:rPr>
        <w:t xml:space="preserve"> de plus de 6 mois et </w:t>
      </w:r>
      <w:r w:rsidDel="00000000" w:rsidR="00000000" w:rsidRPr="00000000">
        <w:rPr>
          <w:rFonts w:ascii="Times New Roman" w:cs="Times New Roman" w:eastAsia="Times New Roman" w:hAnsi="Times New Roman"/>
          <w:b w:val="1"/>
          <w:sz w:val="24"/>
          <w:szCs w:val="24"/>
          <w:rtl w:val="0"/>
        </w:rPr>
        <w:t xml:space="preserve">20 % des accidents du travail</w:t>
      </w:r>
      <w:r w:rsidDel="00000000" w:rsidR="00000000" w:rsidRPr="00000000">
        <w:rPr>
          <w:rFonts w:ascii="Times New Roman" w:cs="Times New Roman" w:eastAsia="Times New Roman" w:hAnsi="Times New Roman"/>
          <w:sz w:val="24"/>
          <w:szCs w:val="24"/>
          <w:rtl w:val="0"/>
        </w:rPr>
        <w:t xml:space="preserve">, avec des arrêts de travail d’une durée de 2 mois en moyenne (2). Elle est ainsi devenue la </w:t>
      </w:r>
      <w:r w:rsidDel="00000000" w:rsidR="00000000" w:rsidRPr="00000000">
        <w:rPr>
          <w:rFonts w:ascii="Times New Roman" w:cs="Times New Roman" w:eastAsia="Times New Roman" w:hAnsi="Times New Roman"/>
          <w:b w:val="1"/>
          <w:sz w:val="24"/>
          <w:szCs w:val="24"/>
          <w:rtl w:val="0"/>
        </w:rPr>
        <w:t xml:space="preserve">1ère cause d’exclusion du travail avant 45 ans</w:t>
      </w:r>
      <w:r w:rsidDel="00000000" w:rsidR="00000000" w:rsidRPr="00000000">
        <w:rPr>
          <w:rFonts w:ascii="Times New Roman" w:cs="Times New Roman" w:eastAsia="Times New Roman" w:hAnsi="Times New Roman"/>
          <w:sz w:val="24"/>
          <w:szCs w:val="24"/>
          <w:rtl w:val="0"/>
        </w:rPr>
        <w:t xml:space="preserve"> et le 3e motif d’admission en invalidité.</w:t>
      </w:r>
    </w:p>
    <w:p w:rsidR="00000000" w:rsidDel="00000000" w:rsidP="00000000" w:rsidRDefault="00000000" w:rsidRPr="00000000" w14:paraId="00000006">
      <w:pPr>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Thème :</w:t>
      </w:r>
      <w:r w:rsidDel="00000000" w:rsidR="00000000" w:rsidRPr="00000000">
        <w:rPr>
          <w:rFonts w:ascii="Times New Roman" w:cs="Times New Roman" w:eastAsia="Times New Roman" w:hAnsi="Times New Roman"/>
          <w:sz w:val="24"/>
          <w:szCs w:val="24"/>
          <w:rtl w:val="0"/>
        </w:rPr>
        <w:t xml:space="preserve"> Pathologies chroniques nécessitant des soins itératifs et une intervention pluriprofessionnelle permettant notamment de prévenir la désinsertion socioprofessionnelle : lombalgies chroniques invalidantes, syndrome anxiodépressif</w:t>
      </w: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Objectifs : </w:t>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Fonts w:ascii="Times New Roman" w:cs="Times New Roman" w:eastAsia="Times New Roman" w:hAnsi="Times New Roman"/>
          <w:sz w:val="24"/>
          <w:szCs w:val="24"/>
          <w:rtl w:val="0"/>
        </w:rPr>
        <w:t xml:space="preserve">Proposer des outils pratiques de mise en mouvement pour les patients lombalgiques pour réduire le recours aux soins de Kinésithérapie,</w:t>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Fonts w:ascii="Times New Roman" w:cs="Times New Roman" w:eastAsia="Times New Roman" w:hAnsi="Times New Roman"/>
          <w:sz w:val="24"/>
          <w:szCs w:val="24"/>
          <w:rtl w:val="0"/>
        </w:rPr>
        <w:t xml:space="preserve">Eviter la chronicisation,</w:t>
        <w:tab/>
        <w:br w:type="textWrapping"/>
      </w:r>
      <w:r w:rsidDel="00000000" w:rsidR="00000000" w:rsidRPr="00000000">
        <w:rPr>
          <w:rFonts w:ascii="Wingdings" w:cs="Wingdings" w:eastAsia="Wingdings" w:hAnsi="Wingdings"/>
          <w:sz w:val="24"/>
          <w:szCs w:val="24"/>
          <w:rtl w:val="0"/>
        </w:rPr>
        <w:t xml:space="preserve">🡪</w:t>
      </w:r>
      <w:r w:rsidDel="00000000" w:rsidR="00000000" w:rsidRPr="00000000">
        <w:rPr>
          <w:rFonts w:ascii="Times New Roman" w:cs="Times New Roman" w:eastAsia="Times New Roman" w:hAnsi="Times New Roman"/>
          <w:sz w:val="24"/>
          <w:szCs w:val="24"/>
          <w:rtl w:val="0"/>
        </w:rPr>
        <w:t xml:space="preserve">Autonomiser les patients à la gestion des crises douloureuses aiguës. </w:t>
      </w:r>
      <w:r w:rsidDel="00000000" w:rsidR="00000000" w:rsidRPr="00000000">
        <w:rPr>
          <w:rtl w:val="0"/>
        </w:rPr>
      </w:r>
    </w:p>
    <w:p w:rsidR="00000000" w:rsidDel="00000000" w:rsidP="00000000" w:rsidRDefault="00000000" w:rsidRPr="00000000" w14:paraId="0000000A">
      <w:pPr>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Objectifs secondaires : </w:t>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Fonts w:ascii="Times New Roman" w:cs="Times New Roman" w:eastAsia="Times New Roman" w:hAnsi="Times New Roman"/>
          <w:sz w:val="24"/>
          <w:szCs w:val="24"/>
          <w:rtl w:val="0"/>
        </w:rPr>
        <w:t xml:space="preserve">Réduire la prescription des examens radiologiques non nécessaires,</w:t>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Fonts w:ascii="Times New Roman" w:cs="Times New Roman" w:eastAsia="Times New Roman" w:hAnsi="Times New Roman"/>
          <w:sz w:val="24"/>
          <w:szCs w:val="24"/>
          <w:rtl w:val="0"/>
        </w:rPr>
        <w:t xml:space="preserve">Autonomiser le patient et promouvoir l’activité physique,</w:t>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Fonts w:ascii="Times New Roman" w:cs="Times New Roman" w:eastAsia="Times New Roman" w:hAnsi="Times New Roman"/>
          <w:sz w:val="24"/>
          <w:szCs w:val="24"/>
          <w:rtl w:val="0"/>
        </w:rPr>
        <w:t xml:space="preserve">Sélectionner les patients éligibles à la prescription d’APA,</w:t>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Fonts w:ascii="Times New Roman" w:cs="Times New Roman" w:eastAsia="Times New Roman" w:hAnsi="Times New Roman"/>
          <w:sz w:val="24"/>
          <w:szCs w:val="24"/>
          <w:rtl w:val="0"/>
        </w:rPr>
        <w:t xml:space="preserve">Former les professionnels aux bonnes pratiques,</w:t>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Fonts w:ascii="Times New Roman" w:cs="Times New Roman" w:eastAsia="Times New Roman" w:hAnsi="Times New Roman"/>
          <w:sz w:val="24"/>
          <w:szCs w:val="24"/>
          <w:rtl w:val="0"/>
        </w:rPr>
        <w:t xml:space="preserve">Diminuer la consommation des antalgiques,</w:t>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Fonts w:ascii="Times New Roman" w:cs="Times New Roman" w:eastAsia="Times New Roman" w:hAnsi="Times New Roman"/>
          <w:sz w:val="24"/>
          <w:szCs w:val="24"/>
          <w:rtl w:val="0"/>
        </w:rPr>
        <w:t xml:space="preserve">Permettre une reprise du travail adapté la plus rapide possible. </w:t>
      </w:r>
    </w:p>
    <w:p w:rsidR="00000000" w:rsidDel="00000000" w:rsidP="00000000" w:rsidRDefault="00000000" w:rsidRPr="00000000" w14:paraId="00000011">
      <w:pPr>
        <w:jc w:val="both"/>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12">
      <w:pPr>
        <w:jc w:val="both"/>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Professionnels concernés : </w:t>
      </w:r>
    </w:p>
    <w:p w:rsidR="00000000" w:rsidDel="00000000" w:rsidP="00000000" w:rsidRDefault="00000000" w:rsidRPr="00000000" w14:paraId="00000014">
      <w:pPr>
        <w:spacing w:after="0" w:lineRule="auto"/>
        <w:jc w:val="both"/>
        <w:rPr>
          <w:rFonts w:ascii="Times New Roman" w:cs="Times New Roman" w:eastAsia="Times New Roman" w:hAnsi="Times New Roman"/>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Fonts w:ascii="Times New Roman" w:cs="Times New Roman" w:eastAsia="Times New Roman" w:hAnsi="Times New Roman"/>
          <w:sz w:val="24"/>
          <w:szCs w:val="24"/>
          <w:rtl w:val="0"/>
        </w:rPr>
        <w:t xml:space="preserve">Médecin généraliste </w:t>
      </w:r>
    </w:p>
    <w:p w:rsidR="00000000" w:rsidDel="00000000" w:rsidP="00000000" w:rsidRDefault="00000000" w:rsidRPr="00000000" w14:paraId="00000015">
      <w:pPr>
        <w:spacing w:after="0" w:lineRule="auto"/>
        <w:jc w:val="both"/>
        <w:rPr>
          <w:rFonts w:ascii="Times New Roman" w:cs="Times New Roman" w:eastAsia="Times New Roman" w:hAnsi="Times New Roman"/>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Fonts w:ascii="Times New Roman" w:cs="Times New Roman" w:eastAsia="Times New Roman" w:hAnsi="Times New Roman"/>
          <w:sz w:val="24"/>
          <w:szCs w:val="24"/>
          <w:rtl w:val="0"/>
        </w:rPr>
        <w:t xml:space="preserve">Kinésithérapeute DE</w:t>
        <w:tab/>
        <w:br w:type="textWrapping"/>
      </w:r>
      <w:r w:rsidDel="00000000" w:rsidR="00000000" w:rsidRPr="00000000">
        <w:rPr>
          <w:rFonts w:ascii="Wingdings" w:cs="Wingdings" w:eastAsia="Wingdings" w:hAnsi="Wingdings"/>
          <w:sz w:val="24"/>
          <w:szCs w:val="24"/>
          <w:rtl w:val="0"/>
        </w:rPr>
        <w:t xml:space="preserve">🡪</w:t>
      </w:r>
      <w:r w:rsidDel="00000000" w:rsidR="00000000" w:rsidRPr="00000000">
        <w:rPr>
          <w:rFonts w:ascii="Times New Roman" w:cs="Times New Roman" w:eastAsia="Times New Roman" w:hAnsi="Times New Roman"/>
          <w:sz w:val="24"/>
          <w:szCs w:val="24"/>
          <w:rtl w:val="0"/>
        </w:rPr>
        <w:t xml:space="preserve">APA</w:t>
        <w:br w:type="textWrapping"/>
      </w:r>
      <w:r w:rsidDel="00000000" w:rsidR="00000000" w:rsidRPr="00000000">
        <w:rPr>
          <w:rFonts w:ascii="Wingdings" w:cs="Wingdings" w:eastAsia="Wingdings" w:hAnsi="Wingdings"/>
          <w:sz w:val="24"/>
          <w:szCs w:val="24"/>
          <w:rtl w:val="0"/>
        </w:rPr>
        <w:t xml:space="preserve">🡪</w:t>
      </w:r>
      <w:r w:rsidDel="00000000" w:rsidR="00000000" w:rsidRPr="00000000">
        <w:rPr>
          <w:rFonts w:ascii="Times New Roman" w:cs="Times New Roman" w:eastAsia="Times New Roman" w:hAnsi="Times New Roman"/>
          <w:sz w:val="24"/>
          <w:szCs w:val="24"/>
          <w:rtl w:val="0"/>
        </w:rPr>
        <w:t xml:space="preserve">IDE Asalé</w:t>
        <w:tab/>
        <w:br w:type="textWrapping"/>
      </w:r>
      <w:r w:rsidDel="00000000" w:rsidR="00000000" w:rsidRPr="00000000">
        <w:rPr>
          <w:rFonts w:ascii="Wingdings" w:cs="Wingdings" w:eastAsia="Wingdings" w:hAnsi="Wingdings"/>
          <w:sz w:val="24"/>
          <w:szCs w:val="24"/>
          <w:rtl w:val="0"/>
        </w:rPr>
        <w:t xml:space="preserve">🡪</w:t>
      </w:r>
      <w:r w:rsidDel="00000000" w:rsidR="00000000" w:rsidRPr="00000000">
        <w:rPr>
          <w:rFonts w:ascii="Times New Roman" w:cs="Times New Roman" w:eastAsia="Times New Roman" w:hAnsi="Times New Roman"/>
          <w:sz w:val="24"/>
          <w:szCs w:val="24"/>
          <w:rtl w:val="0"/>
        </w:rPr>
        <w:t xml:space="preserve">IDEL</w:t>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Population cible : </w:t>
      </w:r>
    </w:p>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Tout patient suivi par le pôle de santé universitaire de Gennevilliers-Villeneuve la garenne, consultant pour une douleur lombaire aiguë et/ou chronique </w:t>
      </w:r>
    </w:p>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Déroulement du protocole :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Médecin généraliste : Diagnostic et coordination</w:t>
      </w:r>
      <w:r w:rsidDel="00000000" w:rsidR="00000000" w:rsidRPr="00000000">
        <w:rPr>
          <w:rtl w:val="0"/>
        </w:rPr>
      </w:r>
    </w:p>
    <w:p w:rsidR="00000000" w:rsidDel="00000000" w:rsidP="00000000" w:rsidRDefault="00000000" w:rsidRPr="00000000" w14:paraId="0000001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Diagnostic : </w:t>
      </w:r>
      <w:r w:rsidDel="00000000" w:rsidR="00000000" w:rsidRPr="00000000">
        <w:rPr>
          <w:rFonts w:ascii="Times New Roman" w:cs="Times New Roman" w:eastAsia="Times New Roman" w:hAnsi="Times New Roman"/>
          <w:sz w:val="24"/>
          <w:szCs w:val="24"/>
          <w:rtl w:val="0"/>
        </w:rPr>
        <w:t xml:space="preserve">douleur située entre la charnière thoraco-lombaire et le pli fessier inférieur. Elle peut être associée à une radiculalgie correspondant à une douleur d’un ou des deux membres inférieurs au niveau d’un ou plusieurs dermatomes. La lombalgie commune désigne une douleur lombaire qui ne comporte pas de signes d’alerte.</w:t>
      </w:r>
    </w:p>
    <w:p w:rsidR="00000000" w:rsidDel="00000000" w:rsidP="00000000" w:rsidRDefault="00000000" w:rsidRPr="00000000" w14:paraId="0000001E">
      <w:pPr>
        <w:numPr>
          <w:ilvl w:val="0"/>
          <w:numId w:val="2"/>
        </w:numPr>
        <w:pBdr>
          <w:top w:color="000000" w:space="1" w:sz="4" w:val="single"/>
          <w:left w:color="000000" w:space="4" w:sz="4" w:val="single"/>
          <w:bottom w:color="000000" w:space="1" w:sz="4" w:val="single"/>
          <w:right w:color="000000" w:space="4" w:sz="4" w:val="single"/>
        </w:pBd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Examen clinique</w:t>
      </w:r>
    </w:p>
    <w:p w:rsidR="00000000" w:rsidDel="00000000" w:rsidP="00000000" w:rsidRDefault="00000000" w:rsidRPr="00000000" w14:paraId="0000001F">
      <w:pPr>
        <w:numPr>
          <w:ilvl w:val="0"/>
          <w:numId w:val="2"/>
        </w:numPr>
        <w:pBdr>
          <w:top w:color="000000" w:space="1" w:sz="4" w:val="single"/>
          <w:left w:color="000000" w:space="4" w:sz="4" w:val="single"/>
          <w:bottom w:color="000000" w:space="1" w:sz="4" w:val="single"/>
          <w:right w:color="000000" w:space="4" w:sz="4" w:val="single"/>
        </w:pBd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Recherche des signes d’alerte (drapeaux de la reco HAS)</w:t>
      </w:r>
    </w:p>
    <w:p w:rsidR="00000000" w:rsidDel="00000000" w:rsidP="00000000" w:rsidRDefault="00000000" w:rsidRPr="00000000" w14:paraId="00000020">
      <w:pPr>
        <w:numPr>
          <w:ilvl w:val="0"/>
          <w:numId w:val="2"/>
        </w:numPr>
        <w:pBdr>
          <w:top w:color="000000" w:space="1" w:sz="4" w:val="single"/>
          <w:left w:color="000000" w:space="4" w:sz="4" w:val="single"/>
          <w:bottom w:color="000000" w:space="1" w:sz="4" w:val="single"/>
          <w:right w:color="000000" w:space="4" w:sz="4" w:val="single"/>
        </w:pBd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Bilan radiologique si et seulement si drapeaux rouges (cf fiche médecin)</w:t>
      </w:r>
    </w:p>
    <w:p w:rsidR="00000000" w:rsidDel="00000000" w:rsidP="00000000" w:rsidRDefault="00000000" w:rsidRPr="00000000" w14:paraId="00000021">
      <w:pPr>
        <w:numPr>
          <w:ilvl w:val="0"/>
          <w:numId w:val="2"/>
        </w:numPr>
        <w:pBdr>
          <w:top w:color="000000" w:space="1" w:sz="4" w:val="single"/>
          <w:left w:color="000000" w:space="4" w:sz="4" w:val="single"/>
          <w:bottom w:color="000000" w:space="1" w:sz="4" w:val="single"/>
          <w:right w:color="000000" w:space="4" w:sz="4" w:val="single"/>
        </w:pBdr>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Conseils : exercices adaptés à la douleur élaborés avec l’aide des kinés en fonction des douleurs, continuer à être actif, chaleur, antalgiques, </w:t>
      </w:r>
      <w:r w:rsidDel="00000000" w:rsidR="00000000" w:rsidRPr="00000000">
        <w:rPr>
          <w:rFonts w:ascii="Times New Roman" w:cs="Times New Roman" w:eastAsia="Times New Roman" w:hAnsi="Times New Roman"/>
          <w:sz w:val="24"/>
          <w:szCs w:val="24"/>
          <w:rtl w:val="0"/>
        </w:rPr>
        <w:t xml:space="preserve">prescription d’une thérapie numérique avec l’application Self Back (validée par la CNAM)</w:t>
      </w:r>
      <w:r w:rsidDel="00000000" w:rsidR="00000000" w:rsidRPr="00000000">
        <w:rPr>
          <w:rtl w:val="0"/>
        </w:rPr>
      </w:r>
    </w:p>
    <w:p w:rsidR="00000000" w:rsidDel="00000000" w:rsidP="00000000" w:rsidRDefault="00000000" w:rsidRPr="00000000" w14:paraId="00000022">
      <w:pPr>
        <w:numPr>
          <w:ilvl w:val="0"/>
          <w:numId w:val="2"/>
        </w:numPr>
        <w:pBdr>
          <w:top w:color="000000" w:space="1" w:sz="4" w:val="single"/>
          <w:left w:color="000000" w:space="4" w:sz="4" w:val="single"/>
          <w:bottom w:color="000000" w:space="1" w:sz="4" w:val="single"/>
          <w:right w:color="000000" w:space="4" w:sz="4" w:val="single"/>
        </w:pBd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Remise des 2 documents : « Exercices » et </w:t>
      </w:r>
      <w:r w:rsidDel="00000000" w:rsidR="00000000" w:rsidRPr="00000000">
        <w:rPr>
          <w:rFonts w:ascii="Times New Roman" w:cs="Times New Roman" w:eastAsia="Times New Roman" w:hAnsi="Times New Roman"/>
          <w:sz w:val="24"/>
          <w:szCs w:val="24"/>
          <w:rtl w:val="0"/>
        </w:rPr>
        <w:t xml:space="preserve">fiche Ameli pour les patients</w:t>
      </w:r>
      <w:r w:rsidDel="00000000" w:rsidR="00000000" w:rsidRPr="00000000">
        <w:rPr>
          <w:rtl w:val="0"/>
        </w:rPr>
      </w:r>
    </w:p>
    <w:p w:rsidR="00000000" w:rsidDel="00000000" w:rsidP="00000000" w:rsidRDefault="00000000" w:rsidRPr="00000000" w14:paraId="00000023">
      <w:pPr>
        <w:numPr>
          <w:ilvl w:val="0"/>
          <w:numId w:val="2"/>
        </w:numPr>
        <w:pBdr>
          <w:top w:color="000000" w:space="1" w:sz="4" w:val="single"/>
          <w:left w:color="000000" w:space="4" w:sz="4" w:val="single"/>
          <w:bottom w:color="000000" w:space="1" w:sz="4" w:val="single"/>
          <w:right w:color="000000" w:space="4" w:sz="4" w:val="single"/>
        </w:pBd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Prescription de kinésithérapie si les exercices sont insuffisants avec ordonnance type (bilan initial et bilan final ou à 3 mois)</w:t>
      </w:r>
    </w:p>
    <w:p w:rsidR="00000000" w:rsidDel="00000000" w:rsidP="00000000" w:rsidRDefault="00000000" w:rsidRPr="00000000" w14:paraId="00000024">
      <w:pPr>
        <w:numPr>
          <w:ilvl w:val="0"/>
          <w:numId w:val="2"/>
        </w:numPr>
        <w:pBdr>
          <w:top w:color="000000" w:space="1" w:sz="4" w:val="single"/>
          <w:left w:color="000000" w:space="4" w:sz="4" w:val="single"/>
          <w:bottom w:color="000000" w:space="1" w:sz="4" w:val="single"/>
          <w:right w:color="000000" w:space="4" w:sz="4" w:val="single"/>
        </w:pBdr>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Alerte eo sur patient inclus pour faire un élément de suivi eo.</w:t>
      </w:r>
      <w:r w:rsidDel="00000000" w:rsidR="00000000" w:rsidRPr="00000000">
        <w:rPr>
          <w:rtl w:val="0"/>
        </w:rPr>
      </w:r>
    </w:p>
    <w:p w:rsidR="00000000" w:rsidDel="00000000" w:rsidP="00000000" w:rsidRDefault="00000000" w:rsidRPr="00000000" w14:paraId="0000002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Kinésithérapeute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bl>
      <w:tblPr>
        <w:tblStyle w:val="Table1"/>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62"/>
        <w:tblGridChange w:id="0">
          <w:tblGrid>
            <w:gridCol w:w="9062"/>
          </w:tblGrid>
        </w:tblGridChange>
      </w:tblGrid>
      <w:tr>
        <w:trPr>
          <w:cantSplit w:val="0"/>
          <w:tblHeader w:val="0"/>
        </w:trPr>
        <w:tc>
          <w:tcPr/>
          <w:p w:rsidR="00000000" w:rsidDel="00000000" w:rsidP="00000000" w:rsidRDefault="00000000" w:rsidRPr="00000000" w14:paraId="00000028">
            <w:pPr>
              <w:numPr>
                <w:ilvl w:val="0"/>
                <w:numId w:val="3"/>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Examen clinique</w:t>
            </w:r>
          </w:p>
          <w:p w:rsidR="00000000" w:rsidDel="00000000" w:rsidP="00000000" w:rsidRDefault="00000000" w:rsidRPr="00000000" w14:paraId="00000029">
            <w:pPr>
              <w:numPr>
                <w:ilvl w:val="0"/>
                <w:numId w:val="3"/>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Traitement kinésithérapeutique actif, mobilisations…</w:t>
            </w:r>
          </w:p>
          <w:p w:rsidR="00000000" w:rsidDel="00000000" w:rsidP="00000000" w:rsidRDefault="00000000" w:rsidRPr="00000000" w14:paraId="0000002A">
            <w:pPr>
              <w:numPr>
                <w:ilvl w:val="0"/>
                <w:numId w:val="3"/>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Enseignement des postures et des exercices à répéter, conseils d’hygiène de vie en appui sur les livrets « exercice »</w:t>
            </w:r>
          </w:p>
          <w:p w:rsidR="00000000" w:rsidDel="00000000" w:rsidP="00000000" w:rsidRDefault="00000000" w:rsidRPr="00000000" w14:paraId="0000002B">
            <w:pPr>
              <w:numPr>
                <w:ilvl w:val="0"/>
                <w:numId w:val="3"/>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Renforcer les conseils</w:t>
            </w:r>
            <w:r w:rsidDel="00000000" w:rsidR="00000000" w:rsidRPr="00000000">
              <w:rPr>
                <w:rtl w:val="0"/>
              </w:rPr>
            </w:r>
          </w:p>
        </w:tc>
      </w:tr>
    </w:tbl>
    <w:p w:rsidR="00000000" w:rsidDel="00000000" w:rsidP="00000000" w:rsidRDefault="00000000" w:rsidRPr="00000000" w14:paraId="0000002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APA et/ou IDE Asalé </w:t>
      </w:r>
    </w:p>
    <w:p w:rsidR="00000000" w:rsidDel="00000000" w:rsidP="00000000" w:rsidRDefault="00000000" w:rsidRPr="00000000" w14:paraId="0000002F">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0">
      <w:pPr>
        <w:pBdr>
          <w:top w:color="000000" w:space="1" w:sz="4" w:val="single"/>
          <w:left w:color="000000" w:space="4" w:sz="4" w:val="single"/>
          <w:bottom w:color="000000" w:space="1" w:sz="4" w:val="single"/>
          <w:right w:color="000000" w:space="4" w:sz="4" w:val="single"/>
        </w:pBd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Groupe de marche ou piscine douce ou activité physique adaptée :</w:t>
      </w:r>
    </w:p>
    <w:p w:rsidR="00000000" w:rsidDel="00000000" w:rsidP="00000000" w:rsidRDefault="00000000" w:rsidRPr="00000000" w14:paraId="00000031">
      <w:pPr>
        <w:pBdr>
          <w:top w:color="000000" w:space="1" w:sz="4" w:val="single"/>
          <w:left w:color="000000" w:space="4" w:sz="4" w:val="single"/>
          <w:bottom w:color="000000" w:space="1" w:sz="4" w:val="single"/>
          <w:right w:color="000000" w:space="4" w:sz="4" w:val="single"/>
        </w:pBdr>
        <w:jc w:val="both"/>
        <w:rPr>
          <w:rFonts w:ascii="Times New Roman" w:cs="Times New Roman" w:eastAsia="Times New Roman" w:hAnsi="Times New Roman"/>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Fonts w:ascii="Times New Roman" w:cs="Times New Roman" w:eastAsia="Times New Roman" w:hAnsi="Times New Roman"/>
          <w:sz w:val="24"/>
          <w:szCs w:val="24"/>
          <w:rtl w:val="0"/>
        </w:rPr>
        <w:t xml:space="preserve">Prévenir de la raideur et de la dégradation musculaire</w:t>
      </w:r>
    </w:p>
    <w:p w:rsidR="00000000" w:rsidDel="00000000" w:rsidP="00000000" w:rsidRDefault="00000000" w:rsidRPr="00000000" w14:paraId="00000032">
      <w:pPr>
        <w:pBdr>
          <w:top w:color="000000" w:space="1" w:sz="4" w:val="single"/>
          <w:left w:color="000000" w:space="4" w:sz="4" w:val="single"/>
          <w:bottom w:color="000000" w:space="1" w:sz="4" w:val="single"/>
          <w:right w:color="000000" w:space="4" w:sz="4" w:val="single"/>
        </w:pBdr>
        <w:jc w:val="both"/>
        <w:rPr>
          <w:rFonts w:ascii="Times New Roman" w:cs="Times New Roman" w:eastAsia="Times New Roman" w:hAnsi="Times New Roman"/>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Fonts w:ascii="Times New Roman" w:cs="Times New Roman" w:eastAsia="Times New Roman" w:hAnsi="Times New Roman"/>
          <w:sz w:val="24"/>
          <w:szCs w:val="24"/>
          <w:rtl w:val="0"/>
        </w:rPr>
        <w:t xml:space="preserve">Réduction de la douleur et amélioration de la mobilité</w:t>
      </w:r>
    </w:p>
    <w:p w:rsidR="00000000" w:rsidDel="00000000" w:rsidP="00000000" w:rsidRDefault="00000000" w:rsidRPr="00000000" w14:paraId="00000033">
      <w:pPr>
        <w:pBdr>
          <w:top w:color="000000" w:space="1" w:sz="4" w:val="single"/>
          <w:left w:color="000000" w:space="4" w:sz="4" w:val="single"/>
          <w:bottom w:color="000000" w:space="1" w:sz="4" w:val="single"/>
          <w:right w:color="000000" w:space="4" w:sz="4" w:val="single"/>
        </w:pBdr>
        <w:jc w:val="both"/>
        <w:rPr>
          <w:rFonts w:ascii="Times New Roman" w:cs="Times New Roman" w:eastAsia="Times New Roman" w:hAnsi="Times New Roman"/>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Fonts w:ascii="Times New Roman" w:cs="Times New Roman" w:eastAsia="Times New Roman" w:hAnsi="Times New Roman"/>
          <w:sz w:val="24"/>
          <w:szCs w:val="24"/>
          <w:rtl w:val="0"/>
        </w:rPr>
        <w:t xml:space="preserve">Remobilisation en douceur du rachis</w:t>
        <w:tab/>
      </w:r>
    </w:p>
    <w:p w:rsidR="00000000" w:rsidDel="00000000" w:rsidP="00000000" w:rsidRDefault="00000000" w:rsidRPr="00000000" w14:paraId="00000034">
      <w:pPr>
        <w:pBdr>
          <w:top w:color="000000" w:space="1" w:sz="4" w:val="single"/>
          <w:left w:color="000000" w:space="4" w:sz="4" w:val="single"/>
          <w:bottom w:color="000000" w:space="1" w:sz="4" w:val="single"/>
          <w:right w:color="000000" w:space="4" w:sz="4" w:val="single"/>
        </w:pBdr>
        <w:jc w:val="both"/>
        <w:rPr>
          <w:rFonts w:ascii="Times New Roman" w:cs="Times New Roman" w:eastAsia="Times New Roman" w:hAnsi="Times New Roman"/>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Fonts w:ascii="Times New Roman" w:cs="Times New Roman" w:eastAsia="Times New Roman" w:hAnsi="Times New Roman"/>
          <w:sz w:val="24"/>
          <w:szCs w:val="24"/>
          <w:rtl w:val="0"/>
        </w:rPr>
        <w:t xml:space="preserve">Renforcement des muscles profonds</w:t>
      </w:r>
    </w:p>
    <w:p w:rsidR="00000000" w:rsidDel="00000000" w:rsidP="00000000" w:rsidRDefault="00000000" w:rsidRPr="00000000" w14:paraId="00000035">
      <w:pPr>
        <w:pBdr>
          <w:top w:color="000000" w:space="1" w:sz="4" w:val="single"/>
          <w:left w:color="000000" w:space="4" w:sz="4" w:val="single"/>
          <w:bottom w:color="000000" w:space="1" w:sz="4" w:val="single"/>
          <w:right w:color="000000" w:space="4" w:sz="4" w:val="single"/>
        </w:pBdr>
        <w:jc w:val="both"/>
        <w:rPr>
          <w:rFonts w:ascii="Times New Roman" w:cs="Times New Roman" w:eastAsia="Times New Roman" w:hAnsi="Times New Roman"/>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Fonts w:ascii="Times New Roman" w:cs="Times New Roman" w:eastAsia="Times New Roman" w:hAnsi="Times New Roman"/>
          <w:sz w:val="24"/>
          <w:szCs w:val="24"/>
          <w:rtl w:val="0"/>
        </w:rPr>
        <w:t xml:space="preserve">Reprise d’une activité physique</w:t>
      </w:r>
      <w:r w:rsidDel="00000000" w:rsidR="00000000" w:rsidRPr="00000000">
        <w:rPr>
          <w:rtl w:val="0"/>
        </w:rPr>
      </w:r>
    </w:p>
    <w:p w:rsidR="00000000" w:rsidDel="00000000" w:rsidP="00000000" w:rsidRDefault="00000000" w:rsidRPr="00000000" w14:paraId="00000036">
      <w:pPr>
        <w:pBdr>
          <w:top w:color="000000" w:space="1" w:sz="4" w:val="single"/>
          <w:left w:color="000000" w:space="4" w:sz="4" w:val="single"/>
          <w:bottom w:color="000000" w:space="1" w:sz="4" w:val="single"/>
          <w:right w:color="000000" w:space="4" w:sz="4" w:val="single"/>
        </w:pBdr>
        <w:jc w:val="both"/>
        <w:rPr>
          <w:rFonts w:ascii="Times New Roman" w:cs="Times New Roman" w:eastAsia="Times New Roman" w:hAnsi="Times New Roman"/>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Fonts w:ascii="Times New Roman" w:cs="Times New Roman" w:eastAsia="Times New Roman" w:hAnsi="Times New Roman"/>
          <w:sz w:val="24"/>
          <w:szCs w:val="24"/>
          <w:rtl w:val="0"/>
        </w:rPr>
        <w:t xml:space="preserve">Reprise d</w:t>
      </w:r>
      <w:r w:rsidDel="00000000" w:rsidR="00000000" w:rsidRPr="00000000">
        <w:rPr>
          <w:rFonts w:ascii="Times New Roman" w:cs="Times New Roman" w:eastAsia="Times New Roman" w:hAnsi="Times New Roman"/>
          <w:sz w:val="24"/>
          <w:szCs w:val="24"/>
          <w:rtl w:val="0"/>
        </w:rPr>
        <w:t xml:space="preserve">e confiance en soi dans l’activité physique</w:t>
        <w:tab/>
        <w:br w:type="textWrapping"/>
      </w:r>
    </w:p>
    <w:p w:rsidR="00000000" w:rsidDel="00000000" w:rsidP="00000000" w:rsidRDefault="00000000" w:rsidRPr="00000000" w14:paraId="00000037">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Bilan avec le Kiné ou le médecin généraliste à la fin du protocole ou à </w:t>
      </w:r>
      <w:r w:rsidDel="00000000" w:rsidR="00000000" w:rsidRPr="00000000">
        <w:rPr>
          <w:rFonts w:ascii="Times New Roman" w:cs="Times New Roman" w:eastAsia="Times New Roman" w:hAnsi="Times New Roman"/>
          <w:b w:val="1"/>
          <w:sz w:val="24"/>
          <w:szCs w:val="24"/>
          <w:rtl w:val="0"/>
        </w:rPr>
        <w:t xml:space="preserve">3</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mois :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pBdr>
          <w:top w:color="000000" w:space="1" w:sz="4" w:val="single"/>
          <w:left w:color="000000" w:space="4" w:sz="4" w:val="single"/>
          <w:bottom w:color="000000" w:space="1" w:sz="4" w:val="single"/>
          <w:right w:color="000000" w:space="4" w:sz="4" w:val="single"/>
        </w:pBd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Pour les médecins à travers le logiciel Eo</w:t>
      </w:r>
    </w:p>
    <w:p w:rsidR="00000000" w:rsidDel="00000000" w:rsidP="00000000" w:rsidRDefault="00000000" w:rsidRPr="00000000" w14:paraId="0000003B">
      <w:pPr>
        <w:pBdr>
          <w:top w:color="000000" w:space="1" w:sz="4" w:val="single"/>
          <w:left w:color="000000" w:space="4" w:sz="4" w:val="single"/>
          <w:bottom w:color="000000" w:space="1" w:sz="4" w:val="single"/>
          <w:right w:color="000000" w:space="4" w:sz="4" w:val="single"/>
        </w:pBd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Pour les kinés lors de la fin du traitement et/ou à 3 mois</w:t>
      </w:r>
    </w:p>
    <w:p w:rsidR="00000000" w:rsidDel="00000000" w:rsidP="00000000" w:rsidRDefault="00000000" w:rsidRPr="00000000" w14:paraId="0000003C">
      <w:pPr>
        <w:pBdr>
          <w:top w:color="000000" w:space="1" w:sz="4" w:val="single"/>
          <w:left w:color="000000" w:space="4" w:sz="4" w:val="single"/>
          <w:bottom w:color="000000" w:space="1" w:sz="4" w:val="single"/>
          <w:right w:color="000000" w:space="4" w:sz="4" w:val="single"/>
        </w:pBdr>
        <w:jc w:val="both"/>
        <w:rPr>
          <w:rFonts w:ascii="Times New Roman" w:cs="Times New Roman" w:eastAsia="Times New Roman" w:hAnsi="Times New Roman"/>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Fonts w:ascii="Times New Roman" w:cs="Times New Roman" w:eastAsia="Times New Roman" w:hAnsi="Times New Roman"/>
          <w:sz w:val="24"/>
          <w:szCs w:val="24"/>
          <w:rtl w:val="0"/>
        </w:rPr>
        <w:t xml:space="preserve">Evaluation de l’état général du patient</w:t>
      </w:r>
    </w:p>
    <w:p w:rsidR="00000000" w:rsidDel="00000000" w:rsidP="00000000" w:rsidRDefault="00000000" w:rsidRPr="00000000" w14:paraId="0000003D">
      <w:pPr>
        <w:pBdr>
          <w:top w:color="000000" w:space="1" w:sz="4" w:val="single"/>
          <w:left w:color="000000" w:space="4" w:sz="4" w:val="single"/>
          <w:bottom w:color="000000" w:space="1" w:sz="4" w:val="single"/>
          <w:right w:color="000000" w:space="4" w:sz="4" w:val="single"/>
        </w:pBdr>
        <w:jc w:val="both"/>
        <w:rPr>
          <w:rFonts w:ascii="Times New Roman" w:cs="Times New Roman" w:eastAsia="Times New Roman" w:hAnsi="Times New Roman"/>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Fonts w:ascii="Times New Roman" w:cs="Times New Roman" w:eastAsia="Times New Roman" w:hAnsi="Times New Roman"/>
          <w:sz w:val="24"/>
          <w:szCs w:val="24"/>
          <w:rtl w:val="0"/>
        </w:rPr>
        <w:t xml:space="preserve">Evaluation de la douleur</w:t>
      </w:r>
      <w:r w:rsidDel="00000000" w:rsidR="00000000" w:rsidRPr="00000000">
        <w:rPr>
          <w:rtl w:val="0"/>
        </w:rPr>
      </w:r>
    </w:p>
    <w:p w:rsidR="00000000" w:rsidDel="00000000" w:rsidP="00000000" w:rsidRDefault="00000000" w:rsidRPr="00000000" w14:paraId="0000003E">
      <w:pPr>
        <w:pBdr>
          <w:top w:color="000000" w:space="1" w:sz="4" w:val="single"/>
          <w:left w:color="000000" w:space="4" w:sz="4" w:val="single"/>
          <w:bottom w:color="000000" w:space="1" w:sz="4" w:val="single"/>
          <w:right w:color="000000" w:space="4" w:sz="4" w:val="single"/>
        </w:pBdr>
        <w:jc w:val="both"/>
        <w:rPr>
          <w:rFonts w:ascii="Times New Roman" w:cs="Times New Roman" w:eastAsia="Times New Roman" w:hAnsi="Times New Roman"/>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Fonts w:ascii="Times New Roman" w:cs="Times New Roman" w:eastAsia="Times New Roman" w:hAnsi="Times New Roman"/>
          <w:sz w:val="24"/>
          <w:szCs w:val="24"/>
          <w:rtl w:val="0"/>
        </w:rPr>
        <w:t xml:space="preserve">Evaluation</w:t>
      </w:r>
      <w:r w:rsidDel="00000000" w:rsidR="00000000" w:rsidRPr="00000000">
        <w:rPr>
          <w:rFonts w:ascii="Times New Roman" w:cs="Times New Roman" w:eastAsia="Times New Roman" w:hAnsi="Times New Roman"/>
          <w:sz w:val="24"/>
          <w:szCs w:val="24"/>
          <w:rtl w:val="0"/>
        </w:rPr>
        <w:t xml:space="preserve"> de l’utilisation des outils</w:t>
      </w:r>
      <w:r w:rsidDel="00000000" w:rsidR="00000000" w:rsidRPr="00000000">
        <w:rPr>
          <w:rtl w:val="0"/>
        </w:rPr>
      </w:r>
    </w:p>
    <w:p w:rsidR="00000000" w:rsidDel="00000000" w:rsidP="00000000" w:rsidRDefault="00000000" w:rsidRPr="00000000" w14:paraId="0000003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jc w:val="both"/>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41">
      <w:pPr>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Indicateurs et évaluation du protocole :</w:t>
      </w:r>
    </w:p>
    <w:p w:rsidR="00000000" w:rsidDel="00000000" w:rsidP="00000000" w:rsidRDefault="00000000" w:rsidRPr="00000000" w14:paraId="0000004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 protocole sera réactualisé chaque année selon les commentaires des usagers et des professionnels de santé. </w:t>
      </w:r>
    </w:p>
    <w:p w:rsidR="00000000" w:rsidDel="00000000" w:rsidP="00000000" w:rsidRDefault="00000000" w:rsidRPr="00000000" w14:paraId="0000004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Différents indicateurs d’efficacité sont retenus, évaluable par l’intermédiaire de notre logiciel métier :   </w:t>
      </w:r>
    </w:p>
    <w:p w:rsidR="00000000" w:rsidDel="00000000" w:rsidP="00000000" w:rsidRDefault="00000000" w:rsidRPr="00000000" w14:paraId="00000044">
      <w:pPr>
        <w:jc w:val="both"/>
        <w:rPr>
          <w:rFonts w:ascii="Times New Roman" w:cs="Times New Roman" w:eastAsia="Times New Roman" w:hAnsi="Times New Roman"/>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Fonts w:ascii="Times New Roman" w:cs="Times New Roman" w:eastAsia="Times New Roman" w:hAnsi="Times New Roman"/>
          <w:sz w:val="24"/>
          <w:szCs w:val="24"/>
          <w:rtl w:val="0"/>
        </w:rPr>
        <w:t xml:space="preserve">Nombre de patients avec lombalgie aiguë ou chronique : par extraction du logiciel du motif de consultation « lombalgie » ou par éléments de suivi dans le logiciel métier Eo (menu déroulant : exercices, activité physique, kinésithérapie, groupe de marche, piscine douce, APA).</w:t>
      </w:r>
    </w:p>
    <w:p w:rsidR="00000000" w:rsidDel="00000000" w:rsidP="00000000" w:rsidRDefault="00000000" w:rsidRPr="00000000" w14:paraId="00000045">
      <w:pPr>
        <w:jc w:val="both"/>
        <w:rPr>
          <w:rFonts w:ascii="Times New Roman" w:cs="Times New Roman" w:eastAsia="Times New Roman" w:hAnsi="Times New Roman"/>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Fonts w:ascii="Times New Roman" w:cs="Times New Roman" w:eastAsia="Times New Roman" w:hAnsi="Times New Roman"/>
          <w:sz w:val="24"/>
          <w:szCs w:val="24"/>
          <w:rtl w:val="0"/>
        </w:rPr>
        <w:t xml:space="preserve">Nombre de fiches-conseil patient ou exercice données. </w:t>
      </w:r>
    </w:p>
    <w:p w:rsidR="00000000" w:rsidDel="00000000" w:rsidP="00000000" w:rsidRDefault="00000000" w:rsidRPr="00000000" w14:paraId="00000046">
      <w:pPr>
        <w:jc w:val="both"/>
        <w:rPr>
          <w:rFonts w:ascii="Times New Roman" w:cs="Times New Roman" w:eastAsia="Times New Roman" w:hAnsi="Times New Roman"/>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Fonts w:ascii="Times New Roman" w:cs="Times New Roman" w:eastAsia="Times New Roman" w:hAnsi="Times New Roman"/>
          <w:sz w:val="24"/>
          <w:szCs w:val="24"/>
          <w:rtl w:val="0"/>
        </w:rPr>
        <w:t xml:space="preserve">Nombre de patients orientés vers l’APA,</w:t>
      </w:r>
    </w:p>
    <w:p w:rsidR="00000000" w:rsidDel="00000000" w:rsidP="00000000" w:rsidRDefault="00000000" w:rsidRPr="00000000" w14:paraId="00000047">
      <w:pPr>
        <w:jc w:val="both"/>
        <w:rPr>
          <w:rFonts w:ascii="Times New Roman" w:cs="Times New Roman" w:eastAsia="Times New Roman" w:hAnsi="Times New Roman"/>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Fonts w:ascii="Times New Roman" w:cs="Times New Roman" w:eastAsia="Times New Roman" w:hAnsi="Times New Roman"/>
          <w:sz w:val="24"/>
          <w:szCs w:val="24"/>
          <w:rtl w:val="0"/>
        </w:rPr>
        <w:t xml:space="preserve">Nombre de patients orientés vers le groupe de marche des Sévines et la piscine douche avec l’IDE Asalé</w:t>
      </w:r>
    </w:p>
    <w:p w:rsidR="00000000" w:rsidDel="00000000" w:rsidP="00000000" w:rsidRDefault="00000000" w:rsidRPr="00000000" w14:paraId="00000048">
      <w:pPr>
        <w:jc w:val="both"/>
        <w:rPr>
          <w:rFonts w:ascii="Times New Roman" w:cs="Times New Roman" w:eastAsia="Times New Roman" w:hAnsi="Times New Roman"/>
          <w:sz w:val="24"/>
          <w:szCs w:val="24"/>
        </w:rPr>
      </w:pPr>
      <w:r w:rsidDel="00000000" w:rsidR="00000000" w:rsidRPr="00000000">
        <w:rPr>
          <w:rFonts w:ascii="Wingdings" w:cs="Wingdings" w:eastAsia="Wingdings" w:hAnsi="Wingdings"/>
          <w:sz w:val="24"/>
          <w:szCs w:val="24"/>
          <w:rtl w:val="0"/>
        </w:rPr>
        <w:t xml:space="preserve">🡪 </w:t>
      </w:r>
      <w:r w:rsidDel="00000000" w:rsidR="00000000" w:rsidRPr="00000000">
        <w:rPr>
          <w:rFonts w:ascii="Times New Roman" w:cs="Times New Roman" w:eastAsia="Times New Roman" w:hAnsi="Times New Roman"/>
          <w:sz w:val="24"/>
          <w:szCs w:val="24"/>
          <w:rtl w:val="0"/>
        </w:rPr>
        <w:t xml:space="preserve">Bilan kiné à la fin du taitement et/ou à 3 mois</w:t>
      </w:r>
      <w:r w:rsidDel="00000000" w:rsidR="00000000" w:rsidRPr="00000000">
        <w:rPr>
          <w:rtl w:val="0"/>
        </w:rPr>
      </w:r>
    </w:p>
    <w:p w:rsidR="00000000" w:rsidDel="00000000" w:rsidP="00000000" w:rsidRDefault="00000000" w:rsidRPr="00000000" w14:paraId="00000049">
      <w:pPr>
        <w:jc w:val="both"/>
        <w:rPr>
          <w:rFonts w:ascii="Times New Roman" w:cs="Times New Roman" w:eastAsia="Times New Roman" w:hAnsi="Times New Roman"/>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Fonts w:ascii="Times New Roman" w:cs="Times New Roman" w:eastAsia="Times New Roman" w:hAnsi="Times New Roman"/>
          <w:sz w:val="24"/>
          <w:szCs w:val="24"/>
          <w:rtl w:val="0"/>
        </w:rPr>
        <w:t xml:space="preserve">Nombre de formations faites auprès des professionnels. </w:t>
      </w:r>
    </w:p>
    <w:p w:rsidR="00000000" w:rsidDel="00000000" w:rsidP="00000000" w:rsidRDefault="00000000" w:rsidRPr="00000000" w14:paraId="0000004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jc w:val="both"/>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4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jc w:val="both"/>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1">
      <w:pPr>
        <w:spacing w:after="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Bibliographie</w:t>
      </w:r>
    </w:p>
    <w:p w:rsidR="00000000" w:rsidDel="00000000" w:rsidP="00000000" w:rsidRDefault="00000000" w:rsidRPr="00000000" w14:paraId="00000052">
      <w:pPr>
        <w:spacing w:after="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1.Assurance Maladie. Je souffre de lombalgie: de quoi s’agit-il et que faire? [Internet]. 2017 oct [cité 7 avr 2025]. Disponible à: </w:t>
      </w:r>
      <w:hyperlink r:id="rId7">
        <w:r w:rsidDel="00000000" w:rsidR="00000000" w:rsidRPr="00000000">
          <w:rPr>
            <w:rFonts w:ascii="Times New Roman" w:cs="Times New Roman" w:eastAsia="Times New Roman" w:hAnsi="Times New Roman"/>
            <w:color w:val="0563c1"/>
            <w:sz w:val="24"/>
            <w:szCs w:val="24"/>
            <w:u w:val="single"/>
            <w:rtl w:val="0"/>
          </w:rPr>
          <w:t xml:space="preserve">https://www.cramif.fr/sites/default/files/2017-11/ameli-lombalgie-que-faire_assurance-maladie.pdf</w:t>
        </w:r>
      </w:hyperlink>
      <w:r w:rsidDel="00000000" w:rsidR="00000000" w:rsidRPr="00000000">
        <w:rPr>
          <w:rtl w:val="0"/>
        </w:rPr>
      </w:r>
    </w:p>
    <w:p w:rsidR="00000000" w:rsidDel="00000000" w:rsidP="00000000" w:rsidRDefault="00000000" w:rsidRPr="00000000" w14:paraId="00000053">
      <w:pPr>
        <w:spacing w:after="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2.HAS. Recommendation sur la prise en charge du patient présentant une lombalgie commune [Internet]. 2019 mars [cité 7 avr 2025]. Disponible à: </w:t>
      </w:r>
      <w:hyperlink r:id="rId8">
        <w:r w:rsidDel="00000000" w:rsidR="00000000" w:rsidRPr="00000000">
          <w:rPr>
            <w:rFonts w:ascii="Times New Roman" w:cs="Times New Roman" w:eastAsia="Times New Roman" w:hAnsi="Times New Roman"/>
            <w:color w:val="0563c1"/>
            <w:sz w:val="24"/>
            <w:szCs w:val="24"/>
            <w:u w:val="single"/>
            <w:rtl w:val="0"/>
          </w:rPr>
          <w:t xml:space="preserve">https://www.has-sante.fr/upload/docs/application/pdf/2019-04/fm_lombalgie_v2_2.pdf</w:t>
        </w:r>
      </w:hyperlink>
      <w:r w:rsidDel="00000000" w:rsidR="00000000" w:rsidRPr="00000000">
        <w:rPr>
          <w:rtl w:val="0"/>
        </w:rPr>
      </w:r>
    </w:p>
    <w:p w:rsidR="00000000" w:rsidDel="00000000" w:rsidP="00000000" w:rsidRDefault="00000000" w:rsidRPr="00000000" w14:paraId="00000054">
      <w:pPr>
        <w:spacing w:after="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3.HAS. Recommendation: Prise en charge du patient présentant une lombalgie commune. 2019 mars.</w:t>
      </w:r>
    </w:p>
    <w:p w:rsidR="00000000" w:rsidDel="00000000" w:rsidP="00000000" w:rsidRDefault="00000000" w:rsidRPr="00000000" w14:paraId="00000055">
      <w:pPr>
        <w:spacing w:after="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4.Ibrahim AR, Elgamal ME, Moursi MO, Shraim BA, Shraim MA, Shraim M, et al. The Association between Early Opioids Prescribing and the Length of Disability in Acute Lower Back Pain: A Systematic Review and Narrative Synthesis. Int J Environ Res Public Health. 25 sept 2022;19(19):12114.</w:t>
      </w:r>
    </w:p>
    <w:p w:rsidR="00000000" w:rsidDel="00000000" w:rsidP="00000000" w:rsidRDefault="00000000" w:rsidRPr="00000000" w14:paraId="00000056">
      <w:pPr>
        <w:spacing w:after="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5.Shraim BA, Shraim MA, Ibrahim AR, Elgamal ME, Al-Omari B, Shraim M. The association between early MRI and length of disability in acute lower back pain: a systematic review and narrative synthesis. BMC Musculoskelet Disord. 24 nov 2021;22(1):983.</w:t>
      </w:r>
    </w:p>
    <w:p w:rsidR="00000000" w:rsidDel="00000000" w:rsidP="00000000" w:rsidRDefault="00000000" w:rsidRPr="00000000" w14:paraId="00000057">
      <w:pPr>
        <w:spacing w:after="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6.Recommendation sur la prise en charge du patient présentant une lombalgie commune. Arbre décisionnel [Internet]. 2019 mars [cité 7 avr 2025]. Disponible à: </w:t>
      </w:r>
      <w:hyperlink r:id="rId9">
        <w:r w:rsidDel="00000000" w:rsidR="00000000" w:rsidRPr="00000000">
          <w:rPr>
            <w:rFonts w:ascii="Times New Roman" w:cs="Times New Roman" w:eastAsia="Times New Roman" w:hAnsi="Times New Roman"/>
            <w:color w:val="0563c1"/>
            <w:sz w:val="24"/>
            <w:szCs w:val="24"/>
            <w:u w:val="single"/>
            <w:rtl w:val="0"/>
          </w:rPr>
          <w:t xml:space="preserve">https://www.has-sante.fr/upload/docs/application/pdf/2019-04/reco315_arbre_decisionnel_cd_2019_03_28vd.pdf</w:t>
        </w:r>
      </w:hyperlink>
      <w:r w:rsidDel="00000000" w:rsidR="00000000" w:rsidRPr="00000000">
        <w:rPr>
          <w:rtl w:val="0"/>
        </w:rPr>
      </w:r>
    </w:p>
    <w:sectPr>
      <w:headerReference r:id="rId10" w:type="default"/>
      <w:footerReference r:id="rId11"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Wingding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4472c4"/>
        <w:sz w:val="24"/>
        <w:szCs w:val="24"/>
        <w:u w:val="none"/>
        <w:shd w:fill="auto" w:val="clear"/>
        <w:vertAlign w:val="baseline"/>
        <w:rtl w:val="0"/>
      </w:rPr>
      <w:t xml:space="preserve">PSUGVLG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br w:type="textWrapping"/>
    </w:r>
    <w:r w:rsidDel="00000000" w:rsidR="00000000" w:rsidRPr="00000000">
      <w:rPr>
        <w:rFonts w:ascii="Times New Roman" w:cs="Times New Roman" w:eastAsia="Times New Roman" w:hAnsi="Times New Roman"/>
        <w:b w:val="1"/>
        <w:i w:val="0"/>
        <w:smallCaps w:val="0"/>
        <w:strike w:val="0"/>
        <w:color w:val="4472c4"/>
        <w:sz w:val="22"/>
        <w:szCs w:val="22"/>
        <w:u w:val="none"/>
        <w:shd w:fill="auto" w:val="clear"/>
        <w:vertAlign w:val="baseline"/>
        <w:rtl w:val="0"/>
      </w:rPr>
      <w:t xml:space="preserve">P</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ôle de </w:t>
    </w:r>
    <w:r w:rsidDel="00000000" w:rsidR="00000000" w:rsidRPr="00000000">
      <w:rPr>
        <w:rFonts w:ascii="Times New Roman" w:cs="Times New Roman" w:eastAsia="Times New Roman" w:hAnsi="Times New Roman"/>
        <w:b w:val="1"/>
        <w:i w:val="0"/>
        <w:smallCaps w:val="0"/>
        <w:strike w:val="0"/>
        <w:color w:val="4472c4"/>
        <w:sz w:val="22"/>
        <w:szCs w:val="22"/>
        <w:u w:val="none"/>
        <w:shd w:fill="auto" w:val="clear"/>
        <w:vertAlign w:val="baseline"/>
        <w:rtl w:val="0"/>
      </w:rPr>
      <w:t xml:space="preserv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anté </w:t>
    </w:r>
    <w:r w:rsidDel="00000000" w:rsidR="00000000" w:rsidRPr="00000000">
      <w:rPr>
        <w:rFonts w:ascii="Times New Roman" w:cs="Times New Roman" w:eastAsia="Times New Roman" w:hAnsi="Times New Roman"/>
        <w:b w:val="1"/>
        <w:i w:val="0"/>
        <w:smallCaps w:val="0"/>
        <w:strike w:val="0"/>
        <w:color w:val="4472c4"/>
        <w:sz w:val="22"/>
        <w:szCs w:val="22"/>
        <w:u w:val="none"/>
        <w:shd w:fill="auto" w:val="clear"/>
        <w:vertAlign w:val="baseline"/>
        <w:rtl w:val="0"/>
      </w:rPr>
      <w:t xml:space="preserve">U</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niversitaire de </w:t>
    </w:r>
    <w:r w:rsidDel="00000000" w:rsidR="00000000" w:rsidRPr="00000000">
      <w:rPr>
        <w:rFonts w:ascii="Times New Roman" w:cs="Times New Roman" w:eastAsia="Times New Roman" w:hAnsi="Times New Roman"/>
        <w:b w:val="1"/>
        <w:i w:val="0"/>
        <w:smallCaps w:val="0"/>
        <w:strike w:val="0"/>
        <w:color w:val="4472c4"/>
        <w:sz w:val="22"/>
        <w:szCs w:val="22"/>
        <w:u w:val="none"/>
        <w:shd w:fill="auto" w:val="clear"/>
        <w:vertAlign w:val="baseline"/>
        <w:rtl w:val="0"/>
      </w:rPr>
      <w:t xml:space="preserve">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ennevilliers et </w:t>
    </w:r>
    <w:r w:rsidDel="00000000" w:rsidR="00000000" w:rsidRPr="00000000">
      <w:rPr>
        <w:rFonts w:ascii="Times New Roman" w:cs="Times New Roman" w:eastAsia="Times New Roman" w:hAnsi="Times New Roman"/>
        <w:b w:val="1"/>
        <w:i w:val="0"/>
        <w:smallCaps w:val="0"/>
        <w:strike w:val="0"/>
        <w:color w:val="4472c4"/>
        <w:sz w:val="22"/>
        <w:szCs w:val="22"/>
        <w:u w:val="none"/>
        <w:shd w:fill="auto" w:val="clear"/>
        <w:vertAlign w:val="baseline"/>
        <w:rtl w:val="0"/>
      </w:rPr>
      <w:t xml:space="preserve">V</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illeneuve la </w:t>
    </w:r>
    <w:r w:rsidDel="00000000" w:rsidR="00000000" w:rsidRPr="00000000">
      <w:rPr>
        <w:rFonts w:ascii="Times New Roman" w:cs="Times New Roman" w:eastAsia="Times New Roman" w:hAnsi="Times New Roman"/>
        <w:b w:val="1"/>
        <w:i w:val="0"/>
        <w:smallCaps w:val="0"/>
        <w:strike w:val="0"/>
        <w:color w:val="4472c4"/>
        <w:sz w:val="22"/>
        <w:szCs w:val="22"/>
        <w:u w:val="none"/>
        <w:shd w:fill="auto" w:val="clear"/>
        <w:vertAlign w:val="baseline"/>
        <w:rtl w:val="0"/>
      </w:rPr>
      <w:t xml:space="preserve">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arenne</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33 Rue Victor Hugo 02230 Gennevilliers</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SIRET N°79535205300016</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equipecoordination@psugvlg.org</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0" distT="0" distL="0" distR="0">
          <wp:extent cx="1167876" cy="1093571"/>
          <wp:effectExtent b="0" l="0" r="0" t="0"/>
          <wp:docPr id="71480821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67876" cy="1093571"/>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FR"/>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Policepardfaut" w:default="1">
    <w:name w:val="Default Paragraph Font"/>
    <w:uiPriority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paragraph" w:styleId="Paragraphedeliste">
    <w:name w:val="List Paragraph"/>
    <w:basedOn w:val="Normal"/>
    <w:uiPriority w:val="34"/>
    <w:qFormat w:val="1"/>
    <w:rsid w:val="009046B9"/>
    <w:pPr>
      <w:ind w:left="720"/>
      <w:contextualSpacing w:val="1"/>
    </w:pPr>
  </w:style>
  <w:style w:type="table" w:styleId="Grilledutableau">
    <w:name w:val="Table Grid"/>
    <w:basedOn w:val="TableauNormal"/>
    <w:uiPriority w:val="39"/>
    <w:rsid w:val="0050432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Lienhypertexte">
    <w:name w:val="Hyperlink"/>
    <w:basedOn w:val="Policepardfaut"/>
    <w:uiPriority w:val="99"/>
    <w:unhideWhenUsed w:val="1"/>
    <w:rsid w:val="00C27F14"/>
    <w:rPr>
      <w:color w:val="0563c1" w:themeColor="hyperlink"/>
      <w:u w:val="single"/>
    </w:rPr>
  </w:style>
  <w:style w:type="character" w:styleId="Mentionnonrsolue">
    <w:name w:val="Unresolved Mention"/>
    <w:basedOn w:val="Policepardfaut"/>
    <w:uiPriority w:val="99"/>
    <w:semiHidden w:val="1"/>
    <w:unhideWhenUsed w:val="1"/>
    <w:rsid w:val="00C27F14"/>
    <w:rPr>
      <w:color w:val="605e5c"/>
      <w:shd w:color="auto" w:fill="e1dfdd" w:val="clear"/>
    </w:rPr>
  </w:style>
  <w:style w:type="paragraph" w:styleId="En-tte">
    <w:name w:val="header"/>
    <w:basedOn w:val="Normal"/>
    <w:link w:val="En-tteCar"/>
    <w:uiPriority w:val="99"/>
    <w:unhideWhenUsed w:val="1"/>
    <w:rsid w:val="00C27F14"/>
    <w:pPr>
      <w:tabs>
        <w:tab w:val="center" w:pos="4536"/>
        <w:tab w:val="right" w:pos="9072"/>
      </w:tabs>
      <w:spacing w:after="0" w:line="240" w:lineRule="auto"/>
    </w:pPr>
  </w:style>
  <w:style w:type="character" w:styleId="En-tteCar" w:customStyle="1">
    <w:name w:val="En-tête Car"/>
    <w:basedOn w:val="Policepardfaut"/>
    <w:link w:val="En-tte"/>
    <w:uiPriority w:val="99"/>
    <w:rsid w:val="00C27F14"/>
  </w:style>
  <w:style w:type="paragraph" w:styleId="Pieddepage">
    <w:name w:val="footer"/>
    <w:basedOn w:val="Normal"/>
    <w:link w:val="PieddepageCar"/>
    <w:uiPriority w:val="99"/>
    <w:unhideWhenUsed w:val="1"/>
    <w:rsid w:val="00C27F14"/>
    <w:pPr>
      <w:tabs>
        <w:tab w:val="center" w:pos="4536"/>
        <w:tab w:val="right" w:pos="9072"/>
      </w:tabs>
      <w:spacing w:after="0" w:line="240" w:lineRule="auto"/>
    </w:pPr>
  </w:style>
  <w:style w:type="character" w:styleId="PieddepageCar" w:customStyle="1">
    <w:name w:val="Pied de page Car"/>
    <w:basedOn w:val="Policepardfaut"/>
    <w:link w:val="Pieddepage"/>
    <w:uiPriority w:val="99"/>
    <w:rsid w:val="00C27F14"/>
  </w:style>
  <w:style w:type="character" w:styleId="Marquedecommentaire">
    <w:name w:val="annotation reference"/>
    <w:basedOn w:val="Policepardfaut"/>
    <w:uiPriority w:val="99"/>
    <w:semiHidden w:val="1"/>
    <w:unhideWhenUsed w:val="1"/>
    <w:rsid w:val="00733AA2"/>
    <w:rPr>
      <w:sz w:val="16"/>
      <w:szCs w:val="16"/>
    </w:rPr>
  </w:style>
  <w:style w:type="paragraph" w:styleId="Commentaire">
    <w:name w:val="annotation text"/>
    <w:basedOn w:val="Normal"/>
    <w:link w:val="CommentaireCar"/>
    <w:uiPriority w:val="99"/>
    <w:semiHidden w:val="1"/>
    <w:unhideWhenUsed w:val="1"/>
    <w:rsid w:val="00733AA2"/>
    <w:pPr>
      <w:spacing w:line="240" w:lineRule="auto"/>
    </w:pPr>
    <w:rPr>
      <w:sz w:val="20"/>
      <w:szCs w:val="20"/>
    </w:rPr>
  </w:style>
  <w:style w:type="character" w:styleId="CommentaireCar" w:customStyle="1">
    <w:name w:val="Commentaire Car"/>
    <w:basedOn w:val="Policepardfaut"/>
    <w:link w:val="Commentaire"/>
    <w:uiPriority w:val="99"/>
    <w:semiHidden w:val="1"/>
    <w:rsid w:val="00733AA2"/>
    <w:rPr>
      <w:sz w:val="20"/>
      <w:szCs w:val="20"/>
    </w:rPr>
  </w:style>
  <w:style w:type="paragraph" w:styleId="Objetducommentaire">
    <w:name w:val="annotation subject"/>
    <w:basedOn w:val="Commentaire"/>
    <w:next w:val="Commentaire"/>
    <w:link w:val="ObjetducommentaireCar"/>
    <w:uiPriority w:val="99"/>
    <w:semiHidden w:val="1"/>
    <w:unhideWhenUsed w:val="1"/>
    <w:rsid w:val="00733AA2"/>
    <w:rPr>
      <w:b w:val="1"/>
      <w:bCs w:val="1"/>
    </w:rPr>
  </w:style>
  <w:style w:type="character" w:styleId="ObjetducommentaireCar" w:customStyle="1">
    <w:name w:val="Objet du commentaire Car"/>
    <w:basedOn w:val="CommentaireCar"/>
    <w:link w:val="Objetducommentaire"/>
    <w:uiPriority w:val="99"/>
    <w:semiHidden w:val="1"/>
    <w:rsid w:val="00733AA2"/>
    <w:rPr>
      <w:b w:val="1"/>
      <w:bCs w:val="1"/>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www.has-sante.fr/upload/docs/application/pdf/2019-04/reco315_arbre_decisionnel_cd_2019_03_28vd.pdf"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cramif.fr/sites/default/files/2017-11/ameli-lombalgie-que-faire_assurance-maladie.pdf" TargetMode="External"/><Relationship Id="rId8" Type="http://schemas.openxmlformats.org/officeDocument/2006/relationships/hyperlink" Target="https://www.has-sante.fr/upload/docs/application/pdf/2019-04/fm_lombalgie_v2_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5eCxIAzTq3y7ZWyKtAmqYMzkVA==">CgMxLjA4AHIhMXVzYXlJcnl4NDdLWHBUbFFyMUNXTzNxQkhXUjdPWi1D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2025-01-10T11:31:00Z</dcterms:created>
  <dc:creator>Elsa Bizet</dc:creator>
</cp:coreProperties>
</file>